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91B4" w14:textId="55B3E4D3" w:rsidR="00217B81" w:rsidRPr="00217B81" w:rsidRDefault="00217B81" w:rsidP="00217B81">
      <w:pPr>
        <w:pBdr>
          <w:bottom w:val="single" w:sz="6" w:space="6" w:color="CACACA"/>
        </w:pBdr>
        <w:shd w:val="clear" w:color="auto" w:fill="FFFFFF"/>
        <w:spacing w:after="120" w:line="336" w:lineRule="atLeast"/>
        <w:textAlignment w:val="baseline"/>
        <w:outlineLvl w:val="1"/>
        <w:rPr>
          <w:rFonts w:ascii="Verdana" w:eastAsia="Times New Roman" w:hAnsi="Verdana" w:cs="Times New Roman"/>
          <w:b/>
          <w:bCs/>
          <w:color w:val="004863"/>
          <w:sz w:val="38"/>
          <w:szCs w:val="38"/>
        </w:rPr>
      </w:pPr>
      <w:r w:rsidRPr="00217B81">
        <w:rPr>
          <w:rFonts w:ascii="Verdana" w:eastAsia="Times New Roman" w:hAnsi="Verdana" w:cs="Times New Roman"/>
          <w:b/>
          <w:bCs/>
          <w:color w:val="004863"/>
          <w:sz w:val="38"/>
          <w:szCs w:val="38"/>
        </w:rPr>
        <w:t>Therapeutic Community’s Approach</w:t>
      </w:r>
      <w:bookmarkStart w:id="0" w:name="_GoBack"/>
      <w:bookmarkEnd w:id="0"/>
    </w:p>
    <w:p w14:paraId="2F8D91B0" w14:textId="77777777" w:rsidR="00217B81" w:rsidRPr="00217B81" w:rsidRDefault="00217B81" w:rsidP="00217B81">
      <w:pPr>
        <w:shd w:val="clear" w:color="auto" w:fill="FFFFFF"/>
        <w:spacing w:after="0" w:line="384" w:lineRule="atLeast"/>
        <w:textAlignment w:val="baseline"/>
        <w:rPr>
          <w:rFonts w:ascii="inherit" w:eastAsia="Times New Roman" w:hAnsi="inherit" w:cs="Times New Roman"/>
          <w:color w:val="444444"/>
          <w:sz w:val="21"/>
          <w:szCs w:val="21"/>
        </w:rPr>
      </w:pPr>
      <w:r w:rsidRPr="00217B81">
        <w:rPr>
          <w:rFonts w:ascii="inherit" w:eastAsia="Times New Roman" w:hAnsi="inherit" w:cs="Times New Roman"/>
          <w:color w:val="444444"/>
          <w:sz w:val="21"/>
          <w:szCs w:val="21"/>
        </w:rPr>
        <w:t>Therapeutic communities (TCs) have a </w:t>
      </w:r>
      <w:r w:rsidRPr="00217B81">
        <w:rPr>
          <w:rFonts w:ascii="inherit" w:eastAsia="Times New Roman" w:hAnsi="inherit" w:cs="Times New Roman"/>
          <w:i/>
          <w:iCs/>
          <w:color w:val="444444"/>
          <w:sz w:val="21"/>
          <w:szCs w:val="21"/>
          <w:bdr w:val="none" w:sz="0" w:space="0" w:color="auto" w:frame="1"/>
        </w:rPr>
        <w:t>recovery</w:t>
      </w:r>
      <w:r w:rsidRPr="00217B81">
        <w:rPr>
          <w:rFonts w:ascii="inherit" w:eastAsia="Times New Roman" w:hAnsi="inherit" w:cs="Times New Roman"/>
          <w:color w:val="444444"/>
          <w:sz w:val="21"/>
          <w:szCs w:val="21"/>
        </w:rPr>
        <w:t> orientation, focusing on the whole person and overall lifestyle changes, not simply abstinence from drug use. This orientation acknowledges the chronic, relapsing nature of substance use disorders (SUDs) and holds the view that lapses are opportunities for learning </w:t>
      </w:r>
      <w:hyperlink r:id="rId4" w:history="1">
        <w:r w:rsidRPr="00217B81">
          <w:rPr>
            <w:rFonts w:ascii="inherit" w:eastAsia="Times New Roman" w:hAnsi="inherit" w:cs="Times New Roman"/>
            <w:color w:val="A52200"/>
            <w:sz w:val="16"/>
            <w:szCs w:val="16"/>
            <w:u w:val="single"/>
            <w:bdr w:val="none" w:sz="0" w:space="0" w:color="auto" w:frame="1"/>
            <w:vertAlign w:val="superscript"/>
          </w:rPr>
          <w:t>(</w:t>
        </w:r>
        <w:proofErr w:type="spellStart"/>
        <w:r w:rsidRPr="00217B81">
          <w:rPr>
            <w:rFonts w:ascii="inherit" w:eastAsia="Times New Roman" w:hAnsi="inherit" w:cs="Times New Roman"/>
            <w:color w:val="A52200"/>
            <w:sz w:val="16"/>
            <w:szCs w:val="16"/>
            <w:u w:val="single"/>
            <w:bdr w:val="none" w:sz="0" w:space="0" w:color="auto" w:frame="1"/>
            <w:vertAlign w:val="superscript"/>
          </w:rPr>
          <w:t>Vanderplasschen</w:t>
        </w:r>
        <w:proofErr w:type="spellEnd"/>
        <w:r w:rsidRPr="00217B81">
          <w:rPr>
            <w:rFonts w:ascii="inherit" w:eastAsia="Times New Roman" w:hAnsi="inherit" w:cs="Times New Roman"/>
            <w:color w:val="A52200"/>
            <w:sz w:val="16"/>
            <w:szCs w:val="16"/>
            <w:u w:val="single"/>
            <w:bdr w:val="none" w:sz="0" w:space="0" w:color="auto" w:frame="1"/>
            <w:vertAlign w:val="superscript"/>
          </w:rPr>
          <w:t xml:space="preserve"> et al., 2013; De Leon, 2012)</w:t>
        </w:r>
      </w:hyperlink>
      <w:r w:rsidRPr="00217B81">
        <w:rPr>
          <w:rFonts w:ascii="inherit" w:eastAsia="Times New Roman" w:hAnsi="inherit" w:cs="Times New Roman"/>
          <w:color w:val="444444"/>
          <w:sz w:val="21"/>
          <w:szCs w:val="21"/>
        </w:rPr>
        <w:t>. Recovery is seen as a gradual, ongoing process of cognitive change through clinical interventions, and it is expected that it will take time for program participants to advance through the stages of treatment, setting personal objectives along the way.</w:t>
      </w:r>
    </w:p>
    <w:p w14:paraId="651AEAF8" w14:textId="77777777" w:rsidR="00217B81" w:rsidRPr="00217B81" w:rsidRDefault="00217B81" w:rsidP="00217B81">
      <w:pPr>
        <w:shd w:val="clear" w:color="auto" w:fill="FFFFFF"/>
        <w:spacing w:after="0" w:line="384" w:lineRule="atLeast"/>
        <w:textAlignment w:val="baseline"/>
        <w:rPr>
          <w:rFonts w:ascii="inherit" w:eastAsia="Times New Roman" w:hAnsi="inherit" w:cs="Times New Roman"/>
          <w:color w:val="444444"/>
          <w:sz w:val="21"/>
          <w:szCs w:val="21"/>
        </w:rPr>
      </w:pPr>
      <w:r w:rsidRPr="00217B81">
        <w:rPr>
          <w:rFonts w:ascii="inherit" w:eastAsia="Times New Roman" w:hAnsi="inherit" w:cs="Times New Roman"/>
          <w:color w:val="444444"/>
          <w:sz w:val="21"/>
          <w:szCs w:val="21"/>
        </w:rPr>
        <w:t>A recovery orientation is different from an </w:t>
      </w:r>
      <w:r w:rsidRPr="00217B81">
        <w:rPr>
          <w:rFonts w:ascii="inherit" w:eastAsia="Times New Roman" w:hAnsi="inherit" w:cs="Times New Roman"/>
          <w:i/>
          <w:iCs/>
          <w:color w:val="444444"/>
          <w:sz w:val="21"/>
          <w:szCs w:val="21"/>
          <w:bdr w:val="none" w:sz="0" w:space="0" w:color="auto" w:frame="1"/>
        </w:rPr>
        <w:t>acute-care</w:t>
      </w:r>
      <w:r w:rsidRPr="00217B81">
        <w:rPr>
          <w:rFonts w:ascii="inherit" w:eastAsia="Times New Roman" w:hAnsi="inherit" w:cs="Times New Roman"/>
          <w:color w:val="444444"/>
          <w:sz w:val="21"/>
          <w:szCs w:val="21"/>
        </w:rPr>
        <w:t> model, which focuses on interrupting drug use and helping the patient attain abstinence during treatment episodes rather than overall lifestyle change </w:t>
      </w:r>
      <w:hyperlink r:id="rId5" w:history="1">
        <w:r w:rsidRPr="00217B81">
          <w:rPr>
            <w:rFonts w:ascii="inherit" w:eastAsia="Times New Roman" w:hAnsi="inherit" w:cs="Times New Roman"/>
            <w:color w:val="A52200"/>
            <w:sz w:val="16"/>
            <w:szCs w:val="16"/>
            <w:u w:val="single"/>
            <w:bdr w:val="none" w:sz="0" w:space="0" w:color="auto" w:frame="1"/>
            <w:vertAlign w:val="superscript"/>
          </w:rPr>
          <w:t>(</w:t>
        </w:r>
        <w:proofErr w:type="spellStart"/>
        <w:r w:rsidRPr="00217B81">
          <w:rPr>
            <w:rFonts w:ascii="inherit" w:eastAsia="Times New Roman" w:hAnsi="inherit" w:cs="Times New Roman"/>
            <w:color w:val="A52200"/>
            <w:sz w:val="16"/>
            <w:szCs w:val="16"/>
            <w:u w:val="single"/>
            <w:bdr w:val="none" w:sz="0" w:space="0" w:color="auto" w:frame="1"/>
            <w:vertAlign w:val="superscript"/>
          </w:rPr>
          <w:t>Vanderplasschen</w:t>
        </w:r>
        <w:proofErr w:type="spellEnd"/>
        <w:r w:rsidRPr="00217B81">
          <w:rPr>
            <w:rFonts w:ascii="inherit" w:eastAsia="Times New Roman" w:hAnsi="inherit" w:cs="Times New Roman"/>
            <w:color w:val="A52200"/>
            <w:sz w:val="16"/>
            <w:szCs w:val="16"/>
            <w:u w:val="single"/>
            <w:bdr w:val="none" w:sz="0" w:space="0" w:color="auto" w:frame="1"/>
            <w:vertAlign w:val="superscript"/>
          </w:rPr>
          <w:t xml:space="preserve"> et al., 2013; De Leon, 2000; Sacks et al., 2008b; </w:t>
        </w:r>
        <w:proofErr w:type="spellStart"/>
        <w:r w:rsidRPr="00217B81">
          <w:rPr>
            <w:rFonts w:ascii="inherit" w:eastAsia="Times New Roman" w:hAnsi="inherit" w:cs="Times New Roman"/>
            <w:color w:val="A52200"/>
            <w:sz w:val="16"/>
            <w:szCs w:val="16"/>
            <w:u w:val="single"/>
            <w:bdr w:val="none" w:sz="0" w:space="0" w:color="auto" w:frame="1"/>
            <w:vertAlign w:val="superscript"/>
          </w:rPr>
          <w:t>Perfas</w:t>
        </w:r>
        <w:proofErr w:type="spellEnd"/>
        <w:r w:rsidRPr="00217B81">
          <w:rPr>
            <w:rFonts w:ascii="inherit" w:eastAsia="Times New Roman" w:hAnsi="inherit" w:cs="Times New Roman"/>
            <w:color w:val="A52200"/>
            <w:sz w:val="16"/>
            <w:szCs w:val="16"/>
            <w:u w:val="single"/>
            <w:bdr w:val="none" w:sz="0" w:space="0" w:color="auto" w:frame="1"/>
            <w:vertAlign w:val="superscript"/>
          </w:rPr>
          <w:t xml:space="preserve"> &amp; </w:t>
        </w:r>
        <w:proofErr w:type="spellStart"/>
        <w:r w:rsidRPr="00217B81">
          <w:rPr>
            <w:rFonts w:ascii="inherit" w:eastAsia="Times New Roman" w:hAnsi="inherit" w:cs="Times New Roman"/>
            <w:color w:val="A52200"/>
            <w:sz w:val="16"/>
            <w:szCs w:val="16"/>
            <w:u w:val="single"/>
            <w:bdr w:val="none" w:sz="0" w:space="0" w:color="auto" w:frame="1"/>
            <w:vertAlign w:val="superscript"/>
          </w:rPr>
          <w:t>Spross</w:t>
        </w:r>
        <w:proofErr w:type="spellEnd"/>
        <w:r w:rsidRPr="00217B81">
          <w:rPr>
            <w:rFonts w:ascii="inherit" w:eastAsia="Times New Roman" w:hAnsi="inherit" w:cs="Times New Roman"/>
            <w:color w:val="A52200"/>
            <w:sz w:val="16"/>
            <w:szCs w:val="16"/>
            <w:u w:val="single"/>
            <w:bdr w:val="none" w:sz="0" w:space="0" w:color="auto" w:frame="1"/>
            <w:vertAlign w:val="superscript"/>
          </w:rPr>
          <w:t>, 2007; De Leon, 2012)</w:t>
        </w:r>
      </w:hyperlink>
      <w:r w:rsidRPr="00217B81">
        <w:rPr>
          <w:rFonts w:ascii="inherit" w:eastAsia="Times New Roman" w:hAnsi="inherit" w:cs="Times New Roman"/>
          <w:color w:val="444444"/>
          <w:sz w:val="21"/>
          <w:szCs w:val="21"/>
        </w:rPr>
        <w:t>. TCs encourage participants to examine their personal behavior to help them become more pro-social and to engage in "right living"—considered to be based on honesty, taking responsibility, hard work, and willingness to learn </w:t>
      </w:r>
      <w:hyperlink r:id="rId6" w:history="1">
        <w:r w:rsidRPr="00217B81">
          <w:rPr>
            <w:rFonts w:ascii="inherit" w:eastAsia="Times New Roman" w:hAnsi="inherit" w:cs="Times New Roman"/>
            <w:color w:val="A52200"/>
            <w:sz w:val="16"/>
            <w:szCs w:val="16"/>
            <w:u w:val="single"/>
            <w:bdr w:val="none" w:sz="0" w:space="0" w:color="auto" w:frame="1"/>
            <w:vertAlign w:val="superscript"/>
          </w:rPr>
          <w:t xml:space="preserve">(De Leon, 2000; De Leon, 2015; </w:t>
        </w:r>
        <w:proofErr w:type="spellStart"/>
        <w:r w:rsidRPr="00217B81">
          <w:rPr>
            <w:rFonts w:ascii="inherit" w:eastAsia="Times New Roman" w:hAnsi="inherit" w:cs="Times New Roman"/>
            <w:color w:val="A52200"/>
            <w:sz w:val="16"/>
            <w:szCs w:val="16"/>
            <w:u w:val="single"/>
            <w:bdr w:val="none" w:sz="0" w:space="0" w:color="auto" w:frame="1"/>
            <w:vertAlign w:val="superscript"/>
          </w:rPr>
          <w:t>Vanderplasschen</w:t>
        </w:r>
        <w:proofErr w:type="spellEnd"/>
        <w:r w:rsidRPr="00217B81">
          <w:rPr>
            <w:rFonts w:ascii="inherit" w:eastAsia="Times New Roman" w:hAnsi="inherit" w:cs="Times New Roman"/>
            <w:color w:val="A52200"/>
            <w:sz w:val="16"/>
            <w:szCs w:val="16"/>
            <w:u w:val="single"/>
            <w:bdr w:val="none" w:sz="0" w:space="0" w:color="auto" w:frame="1"/>
            <w:vertAlign w:val="superscript"/>
          </w:rPr>
          <w:t xml:space="preserve"> et al., 2013; </w:t>
        </w:r>
        <w:proofErr w:type="spellStart"/>
        <w:r w:rsidRPr="00217B81">
          <w:rPr>
            <w:rFonts w:ascii="inherit" w:eastAsia="Times New Roman" w:hAnsi="inherit" w:cs="Times New Roman"/>
            <w:color w:val="A52200"/>
            <w:sz w:val="16"/>
            <w:szCs w:val="16"/>
            <w:u w:val="single"/>
            <w:bdr w:val="none" w:sz="0" w:space="0" w:color="auto" w:frame="1"/>
            <w:vertAlign w:val="superscript"/>
          </w:rPr>
          <w:t>Vanderplasschen</w:t>
        </w:r>
        <w:proofErr w:type="spellEnd"/>
        <w:r w:rsidRPr="00217B81">
          <w:rPr>
            <w:rFonts w:ascii="inherit" w:eastAsia="Times New Roman" w:hAnsi="inherit" w:cs="Times New Roman"/>
            <w:color w:val="A52200"/>
            <w:sz w:val="16"/>
            <w:szCs w:val="16"/>
            <w:u w:val="single"/>
            <w:bdr w:val="none" w:sz="0" w:space="0" w:color="auto" w:frame="1"/>
            <w:vertAlign w:val="superscript"/>
          </w:rPr>
          <w:t xml:space="preserve"> et al., 2014; Bunt et al., 2008; Dye et al., 2009)</w:t>
        </w:r>
      </w:hyperlink>
      <w:r w:rsidRPr="00217B81">
        <w:rPr>
          <w:rFonts w:ascii="inherit" w:eastAsia="Times New Roman" w:hAnsi="inherit" w:cs="Times New Roman"/>
          <w:color w:val="444444"/>
          <w:sz w:val="21"/>
          <w:szCs w:val="21"/>
        </w:rPr>
        <w:t>. As program participants progress through the stages of recovery, they assume greater personal and social responsibilities in the community. The goal is for a TC participant to leave the program not only drug-free but also employed or in school or training. It is not uncommon for program participants to progress in their recovery to take on leadership and staff roles within the TC.</w:t>
      </w:r>
    </w:p>
    <w:p w14:paraId="54B52AB9" w14:textId="77777777" w:rsidR="00217B81" w:rsidRPr="00217B81" w:rsidRDefault="00217B81" w:rsidP="00217B81">
      <w:pPr>
        <w:shd w:val="clear" w:color="auto" w:fill="FFFFFF"/>
        <w:spacing w:after="0" w:line="384" w:lineRule="atLeast"/>
        <w:textAlignment w:val="baseline"/>
        <w:rPr>
          <w:rFonts w:ascii="inherit" w:eastAsia="Times New Roman" w:hAnsi="inherit" w:cs="Times New Roman"/>
          <w:color w:val="444444"/>
          <w:sz w:val="21"/>
          <w:szCs w:val="21"/>
        </w:rPr>
      </w:pPr>
      <w:r w:rsidRPr="00217B81">
        <w:rPr>
          <w:rFonts w:ascii="inherit" w:eastAsia="Times New Roman" w:hAnsi="inherit" w:cs="Times New Roman"/>
          <w:color w:val="444444"/>
          <w:sz w:val="21"/>
          <w:szCs w:val="21"/>
        </w:rPr>
        <w:t>Following the concept of "community as method," TCs use active participation in group living and activities to drive individual change and the attainment of therapeutic goals</w:t>
      </w:r>
      <w:hyperlink r:id="rId7" w:history="1">
        <w:r w:rsidRPr="00217B81">
          <w:rPr>
            <w:rFonts w:ascii="inherit" w:eastAsia="Times New Roman" w:hAnsi="inherit" w:cs="Times New Roman"/>
            <w:color w:val="A52200"/>
            <w:sz w:val="21"/>
            <w:szCs w:val="21"/>
            <w:u w:val="single"/>
            <w:bdr w:val="none" w:sz="0" w:space="0" w:color="auto" w:frame="1"/>
          </w:rPr>
          <w:t> </w:t>
        </w:r>
        <w:r w:rsidRPr="00217B81">
          <w:rPr>
            <w:rFonts w:ascii="inherit" w:eastAsia="Times New Roman" w:hAnsi="inherit" w:cs="Times New Roman"/>
            <w:color w:val="A52200"/>
            <w:sz w:val="16"/>
            <w:szCs w:val="16"/>
            <w:u w:val="single"/>
            <w:bdr w:val="none" w:sz="0" w:space="0" w:color="auto" w:frame="1"/>
            <w:vertAlign w:val="superscript"/>
          </w:rPr>
          <w:t xml:space="preserve">(Dye et al., 2009; Dye et al., 2012; </w:t>
        </w:r>
        <w:proofErr w:type="spellStart"/>
        <w:r w:rsidRPr="00217B81">
          <w:rPr>
            <w:rFonts w:ascii="inherit" w:eastAsia="Times New Roman" w:hAnsi="inherit" w:cs="Times New Roman"/>
            <w:color w:val="A52200"/>
            <w:sz w:val="16"/>
            <w:szCs w:val="16"/>
            <w:u w:val="single"/>
            <w:bdr w:val="none" w:sz="0" w:space="0" w:color="auto" w:frame="1"/>
            <w:vertAlign w:val="superscript"/>
          </w:rPr>
          <w:t>Vanderplasschen</w:t>
        </w:r>
        <w:proofErr w:type="spellEnd"/>
        <w:r w:rsidRPr="00217B81">
          <w:rPr>
            <w:rFonts w:ascii="inherit" w:eastAsia="Times New Roman" w:hAnsi="inherit" w:cs="Times New Roman"/>
            <w:color w:val="A52200"/>
            <w:sz w:val="16"/>
            <w:szCs w:val="16"/>
            <w:u w:val="single"/>
            <w:bdr w:val="none" w:sz="0" w:space="0" w:color="auto" w:frame="1"/>
            <w:vertAlign w:val="superscript"/>
          </w:rPr>
          <w:t xml:space="preserve"> et al., 2013; </w:t>
        </w:r>
        <w:proofErr w:type="spellStart"/>
        <w:r w:rsidRPr="00217B81">
          <w:rPr>
            <w:rFonts w:ascii="inherit" w:eastAsia="Times New Roman" w:hAnsi="inherit" w:cs="Times New Roman"/>
            <w:color w:val="A52200"/>
            <w:sz w:val="16"/>
            <w:szCs w:val="16"/>
            <w:u w:val="single"/>
            <w:bdr w:val="none" w:sz="0" w:space="0" w:color="auto" w:frame="1"/>
            <w:vertAlign w:val="superscript"/>
          </w:rPr>
          <w:t>Vanderplasschen</w:t>
        </w:r>
        <w:proofErr w:type="spellEnd"/>
        <w:r w:rsidRPr="00217B81">
          <w:rPr>
            <w:rFonts w:ascii="inherit" w:eastAsia="Times New Roman" w:hAnsi="inherit" w:cs="Times New Roman"/>
            <w:color w:val="A52200"/>
            <w:sz w:val="16"/>
            <w:szCs w:val="16"/>
            <w:u w:val="single"/>
            <w:bdr w:val="none" w:sz="0" w:space="0" w:color="auto" w:frame="1"/>
            <w:vertAlign w:val="superscript"/>
          </w:rPr>
          <w:t xml:space="preserve"> et al., 2014; Bunt et al., 2008)</w:t>
        </w:r>
      </w:hyperlink>
      <w:r w:rsidRPr="00217B81">
        <w:rPr>
          <w:rFonts w:ascii="inherit" w:eastAsia="Times New Roman" w:hAnsi="inherit" w:cs="Times New Roman"/>
          <w:color w:val="444444"/>
          <w:sz w:val="21"/>
          <w:szCs w:val="21"/>
        </w:rPr>
        <w:t>. With an emphasis on social learning and mutual self-help, individual participants take on some of the responsibility for their peers' recovery. This aid to others is seen as an important part of changing oneself </w:t>
      </w:r>
      <w:hyperlink r:id="rId8" w:history="1">
        <w:r w:rsidRPr="00217B81">
          <w:rPr>
            <w:rFonts w:ascii="inherit" w:eastAsia="Times New Roman" w:hAnsi="inherit" w:cs="Times New Roman"/>
            <w:color w:val="A52200"/>
            <w:sz w:val="16"/>
            <w:szCs w:val="16"/>
            <w:u w:val="single"/>
            <w:bdr w:val="none" w:sz="0" w:space="0" w:color="auto" w:frame="1"/>
            <w:vertAlign w:val="superscript"/>
          </w:rPr>
          <w:t>(De Leon, 2000; De Leon, 2015; Sacks et al., 2012a)</w:t>
        </w:r>
      </w:hyperlink>
      <w:r w:rsidRPr="00217B81">
        <w:rPr>
          <w:rFonts w:ascii="inherit" w:eastAsia="Times New Roman" w:hAnsi="inherit" w:cs="Times New Roman"/>
          <w:color w:val="444444"/>
          <w:sz w:val="21"/>
          <w:szCs w:val="21"/>
        </w:rPr>
        <w:t>.</w:t>
      </w:r>
    </w:p>
    <w:p w14:paraId="4534D3FF" w14:textId="77777777" w:rsidR="00217B81" w:rsidRPr="00217B81" w:rsidRDefault="00217B81" w:rsidP="00217B81">
      <w:pPr>
        <w:shd w:val="clear" w:color="auto" w:fill="FFFFFF"/>
        <w:spacing w:after="0" w:line="384" w:lineRule="atLeast"/>
        <w:textAlignment w:val="baseline"/>
        <w:rPr>
          <w:rFonts w:ascii="inherit" w:eastAsia="Times New Roman" w:hAnsi="inherit" w:cs="Times New Roman"/>
          <w:color w:val="444444"/>
          <w:sz w:val="21"/>
          <w:szCs w:val="21"/>
        </w:rPr>
      </w:pPr>
      <w:r w:rsidRPr="00217B81">
        <w:rPr>
          <w:rFonts w:ascii="inherit" w:eastAsia="Times New Roman" w:hAnsi="inherit" w:cs="Times New Roman"/>
          <w:color w:val="444444"/>
          <w:sz w:val="21"/>
          <w:szCs w:val="21"/>
        </w:rPr>
        <w:t>Another implication of the recovery orientation is that it is recognized that people will need options for ongoing support once they complete residential treatment at the TC to promote a healthy drug-free lifestyle and help them avoid relapsing to drug use</w:t>
      </w:r>
      <w:hyperlink r:id="rId9" w:history="1">
        <w:r w:rsidRPr="00217B81">
          <w:rPr>
            <w:rFonts w:ascii="inherit" w:eastAsia="Times New Roman" w:hAnsi="inherit" w:cs="Times New Roman"/>
            <w:color w:val="A52200"/>
            <w:sz w:val="21"/>
            <w:szCs w:val="21"/>
            <w:u w:val="single"/>
            <w:bdr w:val="none" w:sz="0" w:space="0" w:color="auto" w:frame="1"/>
          </w:rPr>
          <w:t> </w:t>
        </w:r>
        <w:r w:rsidRPr="00217B81">
          <w:rPr>
            <w:rFonts w:ascii="inherit" w:eastAsia="Times New Roman" w:hAnsi="inherit" w:cs="Times New Roman"/>
            <w:color w:val="A52200"/>
            <w:sz w:val="16"/>
            <w:szCs w:val="16"/>
            <w:u w:val="single"/>
            <w:bdr w:val="none" w:sz="0" w:space="0" w:color="auto" w:frame="1"/>
            <w:vertAlign w:val="superscript"/>
          </w:rPr>
          <w:t>(Hendershot et al., 2011)</w:t>
        </w:r>
      </w:hyperlink>
      <w:r w:rsidRPr="00217B81">
        <w:rPr>
          <w:rFonts w:ascii="inherit" w:eastAsia="Times New Roman" w:hAnsi="inherit" w:cs="Times New Roman"/>
          <w:color w:val="444444"/>
          <w:sz w:val="21"/>
          <w:szCs w:val="21"/>
        </w:rPr>
        <w:t xml:space="preserve">. Relapse prevention is a part of many addiction treatment programs, aiming to increase awareness and build coping skills both to reduce the likelihood or frequency of relapse and its severity </w:t>
      </w:r>
      <w:proofErr w:type="gramStart"/>
      <w:r w:rsidRPr="00217B81">
        <w:rPr>
          <w:rFonts w:ascii="inherit" w:eastAsia="Times New Roman" w:hAnsi="inherit" w:cs="Times New Roman"/>
          <w:color w:val="444444"/>
          <w:sz w:val="21"/>
          <w:szCs w:val="21"/>
        </w:rPr>
        <w:t>if and when</w:t>
      </w:r>
      <w:proofErr w:type="gramEnd"/>
      <w:r w:rsidRPr="00217B81">
        <w:rPr>
          <w:rFonts w:ascii="inherit" w:eastAsia="Times New Roman" w:hAnsi="inherit" w:cs="Times New Roman"/>
          <w:color w:val="444444"/>
          <w:sz w:val="21"/>
          <w:szCs w:val="21"/>
        </w:rPr>
        <w:t xml:space="preserve"> it does occur. As they move toward completion of a TC program, participants are aided in connecting with formal aftercare and self-help groups in the community. This approach is consistent with care coordination, a highly emphasized component of health care reform.</w:t>
      </w:r>
    </w:p>
    <w:p w14:paraId="52176417" w14:textId="77777777" w:rsidR="00073DF4" w:rsidRDefault="00073DF4"/>
    <w:sectPr w:rsidR="0007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81"/>
    <w:rsid w:val="00073DF4"/>
    <w:rsid w:val="0021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4A97"/>
  <w15:chartTrackingRefBased/>
  <w15:docId w15:val="{B6FA75C1-C036-418A-942F-313ABD64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463691">
      <w:bodyDiv w:val="1"/>
      <w:marLeft w:val="0"/>
      <w:marRight w:val="0"/>
      <w:marTop w:val="0"/>
      <w:marBottom w:val="0"/>
      <w:divBdr>
        <w:top w:val="none" w:sz="0" w:space="0" w:color="auto"/>
        <w:left w:val="none" w:sz="0" w:space="0" w:color="auto"/>
        <w:bottom w:val="none" w:sz="0" w:space="0" w:color="auto"/>
        <w:right w:val="none" w:sz="0" w:space="0" w:color="auto"/>
      </w:divBdr>
      <w:divsChild>
        <w:div w:id="673998530">
          <w:marLeft w:val="0"/>
          <w:marRight w:val="0"/>
          <w:marTop w:val="0"/>
          <w:marBottom w:val="0"/>
          <w:divBdr>
            <w:top w:val="none" w:sz="0" w:space="0" w:color="auto"/>
            <w:left w:val="none" w:sz="0" w:space="0" w:color="auto"/>
            <w:bottom w:val="none" w:sz="0" w:space="0" w:color="auto"/>
            <w:right w:val="none" w:sz="0" w:space="0" w:color="auto"/>
          </w:divBdr>
          <w:divsChild>
            <w:div w:id="799492963">
              <w:marLeft w:val="0"/>
              <w:marRight w:val="0"/>
              <w:marTop w:val="0"/>
              <w:marBottom w:val="0"/>
              <w:divBdr>
                <w:top w:val="none" w:sz="0" w:space="0" w:color="auto"/>
                <w:left w:val="none" w:sz="0" w:space="0" w:color="auto"/>
                <w:bottom w:val="none" w:sz="0" w:space="0" w:color="auto"/>
                <w:right w:val="none" w:sz="0" w:space="0" w:color="auto"/>
              </w:divBdr>
              <w:divsChild>
                <w:div w:id="1816409793">
                  <w:marLeft w:val="0"/>
                  <w:marRight w:val="0"/>
                  <w:marTop w:val="0"/>
                  <w:marBottom w:val="0"/>
                  <w:divBdr>
                    <w:top w:val="none" w:sz="0" w:space="0" w:color="auto"/>
                    <w:left w:val="none" w:sz="0" w:space="0" w:color="auto"/>
                    <w:bottom w:val="none" w:sz="0" w:space="0" w:color="auto"/>
                    <w:right w:val="none" w:sz="0" w:space="0" w:color="auto"/>
                  </w:divBdr>
                  <w:divsChild>
                    <w:div w:id="17350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abuse.gov/publications/research-reports/therapeutic-communities/references" TargetMode="External"/><Relationship Id="rId3" Type="http://schemas.openxmlformats.org/officeDocument/2006/relationships/webSettings" Target="webSettings.xml"/><Relationship Id="rId7" Type="http://schemas.openxmlformats.org/officeDocument/2006/relationships/hyperlink" Target="https://www.drugabuse.gov/publications/research-reports/therapeutic-communities/referen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ugabuse.gov/publications/research-reports/therapeutic-communities/references" TargetMode="External"/><Relationship Id="rId11" Type="http://schemas.openxmlformats.org/officeDocument/2006/relationships/theme" Target="theme/theme1.xml"/><Relationship Id="rId5" Type="http://schemas.openxmlformats.org/officeDocument/2006/relationships/hyperlink" Target="https://www.drugabuse.gov/publications/research-reports/therapeutic-communities/references" TargetMode="External"/><Relationship Id="rId10" Type="http://schemas.openxmlformats.org/officeDocument/2006/relationships/fontTable" Target="fontTable.xml"/><Relationship Id="rId4" Type="http://schemas.openxmlformats.org/officeDocument/2006/relationships/hyperlink" Target="https://www.drugabuse.gov/publications/research-reports/therapeutic-communities/references" TargetMode="External"/><Relationship Id="rId9" Type="http://schemas.openxmlformats.org/officeDocument/2006/relationships/hyperlink" Target="https://www.drugabuse.gov/publications/research-reports/therapeutic-communities/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Jenkins</dc:creator>
  <cp:keywords/>
  <dc:description/>
  <cp:lastModifiedBy>Derrick Jenkins</cp:lastModifiedBy>
  <cp:revision>1</cp:revision>
  <dcterms:created xsi:type="dcterms:W3CDTF">2019-12-17T19:53:00Z</dcterms:created>
  <dcterms:modified xsi:type="dcterms:W3CDTF">2019-12-17T19:54:00Z</dcterms:modified>
</cp:coreProperties>
</file>